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79CBC">
      <w:pPr>
        <w:jc w:val="center"/>
        <w:rPr>
          <w:rFonts w:hint="eastAsia"/>
          <w:b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sz w:val="28"/>
          <w:szCs w:val="28"/>
          <w:highlight w:val="none"/>
          <w:lang w:val="en-US" w:eastAsia="zh-CN"/>
        </w:rPr>
        <w:t>凤岗镇居家养老服务项目用户需求明细</w:t>
      </w:r>
    </w:p>
    <w:p w14:paraId="7A925323">
      <w:pPr>
        <w:spacing w:after="0" w:line="360" w:lineRule="auto"/>
        <w:ind w:left="520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</w:pPr>
    </w:p>
    <w:p w14:paraId="4B171E7F">
      <w:pPr>
        <w:spacing w:after="0" w:line="360" w:lineRule="auto"/>
        <w:ind w:left="520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</w:pPr>
    </w:p>
    <w:p w14:paraId="78E8C67E">
      <w:pPr>
        <w:pStyle w:val="2"/>
        <w:rPr>
          <w:rFonts w:hint="eastAsia"/>
          <w:highlight w:val="none"/>
        </w:rPr>
      </w:pP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333"/>
        <w:gridCol w:w="6553"/>
      </w:tblGrid>
      <w:tr w14:paraId="2C62C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2" w:type="pct"/>
            <w:noWrap w:val="0"/>
            <w:vAlign w:val="center"/>
          </w:tcPr>
          <w:p w14:paraId="2FA4222E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782" w:type="pct"/>
            <w:noWrap w:val="0"/>
            <w:vAlign w:val="center"/>
          </w:tcPr>
          <w:p w14:paraId="1500D5A1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  <w:highlight w:val="none"/>
              </w:rPr>
              <w:t>条款名称</w:t>
            </w:r>
          </w:p>
        </w:tc>
        <w:tc>
          <w:tcPr>
            <w:tcW w:w="3845" w:type="pct"/>
            <w:noWrap w:val="0"/>
            <w:vAlign w:val="center"/>
          </w:tcPr>
          <w:p w14:paraId="2130A540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  <w:highlight w:val="none"/>
              </w:rPr>
              <w:t>说  明</w:t>
            </w:r>
          </w:p>
        </w:tc>
      </w:tr>
      <w:tr w14:paraId="7BCDB0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372" w:type="pct"/>
            <w:noWrap w:val="0"/>
            <w:vAlign w:val="center"/>
          </w:tcPr>
          <w:p w14:paraId="717CFAD1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1</w:t>
            </w:r>
          </w:p>
        </w:tc>
        <w:tc>
          <w:tcPr>
            <w:tcW w:w="782" w:type="pct"/>
            <w:noWrap w:val="0"/>
            <w:vAlign w:val="center"/>
          </w:tcPr>
          <w:p w14:paraId="61C18300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服务期</w:t>
            </w:r>
          </w:p>
        </w:tc>
        <w:tc>
          <w:tcPr>
            <w:tcW w:w="3845" w:type="pct"/>
            <w:noWrap w:val="0"/>
            <w:vAlign w:val="center"/>
          </w:tcPr>
          <w:p w14:paraId="6B6B6FDB">
            <w:pPr>
              <w:adjustRightInd/>
              <w:snapToGrid/>
              <w:spacing w:after="0" w:line="360" w:lineRule="auto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kern w:val="2"/>
                <w:szCs w:val="24"/>
                <w:highlight w:val="none"/>
                <w:lang w:eastAsia="zh-CN"/>
              </w:rPr>
              <w:t>两</w:t>
            </w:r>
            <w:r>
              <w:rPr>
                <w:rFonts w:hint="eastAsia" w:ascii="Times New Roman" w:hAnsi="Times New Roman" w:eastAsia="宋体"/>
                <w:color w:val="000000"/>
                <w:kern w:val="2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/>
                <w:szCs w:val="21"/>
                <w:highlight w:val="none"/>
              </w:rPr>
              <w:t>（合同一年一签）</w:t>
            </w:r>
          </w:p>
        </w:tc>
      </w:tr>
      <w:tr w14:paraId="206FFD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372" w:type="pct"/>
            <w:noWrap w:val="0"/>
            <w:vAlign w:val="center"/>
          </w:tcPr>
          <w:p w14:paraId="2C9AF413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2</w:t>
            </w:r>
          </w:p>
        </w:tc>
        <w:tc>
          <w:tcPr>
            <w:tcW w:w="782" w:type="pct"/>
            <w:noWrap w:val="0"/>
            <w:vAlign w:val="center"/>
          </w:tcPr>
          <w:p w14:paraId="6162911B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服务地点</w:t>
            </w:r>
          </w:p>
        </w:tc>
        <w:tc>
          <w:tcPr>
            <w:tcW w:w="3845" w:type="pct"/>
            <w:noWrap w:val="0"/>
            <w:vAlign w:val="center"/>
          </w:tcPr>
          <w:p w14:paraId="3E106CFE">
            <w:pPr>
              <w:adjustRightInd/>
              <w:snapToGrid/>
              <w:spacing w:after="0" w:line="360" w:lineRule="auto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采购人指定地点</w:t>
            </w:r>
          </w:p>
        </w:tc>
      </w:tr>
      <w:tr w14:paraId="1B499A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5" w:hRule="atLeast"/>
          <w:jc w:val="center"/>
        </w:trPr>
        <w:tc>
          <w:tcPr>
            <w:tcW w:w="372" w:type="pct"/>
            <w:noWrap w:val="0"/>
            <w:vAlign w:val="center"/>
          </w:tcPr>
          <w:p w14:paraId="4E33C580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3</w:t>
            </w:r>
          </w:p>
        </w:tc>
        <w:tc>
          <w:tcPr>
            <w:tcW w:w="782" w:type="pct"/>
            <w:noWrap w:val="0"/>
            <w:vAlign w:val="center"/>
          </w:tcPr>
          <w:p w14:paraId="7285384B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报价内容</w:t>
            </w:r>
          </w:p>
        </w:tc>
        <w:tc>
          <w:tcPr>
            <w:tcW w:w="3845" w:type="pct"/>
            <w:noWrap w:val="0"/>
            <w:vAlign w:val="center"/>
          </w:tcPr>
          <w:p w14:paraId="5EC71837">
            <w:pPr>
              <w:adjustRightInd/>
              <w:snapToGrid/>
              <w:spacing w:after="0" w:line="360" w:lineRule="auto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报价内容包含但不限于以下全部费用，主要包含：各项管理费、社工、护理人员等工作人员工资、福利、医疗保险费、社保费、津贴、加班费、网络费、相关设备购置及维修费、材料费、活动费、差旅费、财务费用、利润、风险金、税金及一切技术和后期服务费（含相关技术指导与培训费）等所有不可预见的隐含费用（以上费用如涉及到多次需求，所有费用都包含在内）。</w:t>
            </w:r>
          </w:p>
        </w:tc>
      </w:tr>
      <w:tr w14:paraId="4E86C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  <w:jc w:val="center"/>
        </w:trPr>
        <w:tc>
          <w:tcPr>
            <w:tcW w:w="372" w:type="pct"/>
            <w:noWrap w:val="0"/>
            <w:vAlign w:val="center"/>
          </w:tcPr>
          <w:p w14:paraId="1A9E6536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4</w:t>
            </w:r>
          </w:p>
        </w:tc>
        <w:tc>
          <w:tcPr>
            <w:tcW w:w="782" w:type="pct"/>
            <w:noWrap w:val="0"/>
            <w:vAlign w:val="center"/>
          </w:tcPr>
          <w:p w14:paraId="5E61FF85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报价方式</w:t>
            </w:r>
          </w:p>
        </w:tc>
        <w:tc>
          <w:tcPr>
            <w:tcW w:w="3845" w:type="pct"/>
            <w:noWrap w:val="0"/>
            <w:vAlign w:val="center"/>
          </w:tcPr>
          <w:p w14:paraId="01EB3A9E">
            <w:pPr>
              <w:adjustRightInd/>
              <w:snapToGrid/>
              <w:spacing w:after="0" w:line="360" w:lineRule="auto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kern w:val="2"/>
                <w:szCs w:val="24"/>
                <w:highlight w:val="none"/>
                <w:lang w:val="en-US" w:eastAsia="zh-CN"/>
              </w:rPr>
              <w:t>本项目财政总预算为2,400,000.00元，采用固定报价，供应商按项目预算2,400,000.00元统一报价。</w:t>
            </w:r>
          </w:p>
        </w:tc>
      </w:tr>
      <w:tr w14:paraId="0CBD99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372" w:type="pct"/>
            <w:noWrap w:val="0"/>
            <w:vAlign w:val="center"/>
          </w:tcPr>
          <w:p w14:paraId="341F2058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5</w:t>
            </w:r>
          </w:p>
        </w:tc>
        <w:tc>
          <w:tcPr>
            <w:tcW w:w="782" w:type="pct"/>
            <w:noWrap w:val="0"/>
            <w:vAlign w:val="center"/>
          </w:tcPr>
          <w:p w14:paraId="21CE40FB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付款方式</w:t>
            </w:r>
          </w:p>
        </w:tc>
        <w:tc>
          <w:tcPr>
            <w:tcW w:w="3845" w:type="pct"/>
            <w:noWrap w:val="0"/>
            <w:vAlign w:val="center"/>
          </w:tcPr>
          <w:p w14:paraId="7F4FA8AE">
            <w:pPr>
              <w:adjustRightInd/>
              <w:snapToGrid/>
              <w:spacing w:after="0" w:line="360" w:lineRule="auto"/>
              <w:jc w:val="both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合同签订后，采购人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按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  <w:lang w:eastAsia="zh-CN"/>
              </w:rPr>
              <w:t>月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支付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，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当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  <w:lang w:eastAsia="zh-CN"/>
              </w:rPr>
              <w:t>月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服务费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在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下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  <w:lang w:eastAsia="zh-CN"/>
              </w:rPr>
              <w:t>月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20日前支付中标人服务费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，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  <w:lang w:eastAsia="zh-CN"/>
              </w:rPr>
              <w:t>每年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  <w:lang w:val="en-US" w:eastAsia="zh-CN"/>
              </w:rPr>
              <w:t>12月的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服务费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highlight w:val="none"/>
              </w:rPr>
              <w:t>在采购人组织验收合格且手续办完后支付。每次付款中标人须提供给采购人合法的票据。</w:t>
            </w:r>
          </w:p>
        </w:tc>
      </w:tr>
      <w:tr w14:paraId="14CF9B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72" w:type="pct"/>
            <w:noWrap w:val="0"/>
            <w:vAlign w:val="center"/>
          </w:tcPr>
          <w:p w14:paraId="6FF0F945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6</w:t>
            </w:r>
          </w:p>
        </w:tc>
        <w:tc>
          <w:tcPr>
            <w:tcW w:w="782" w:type="pct"/>
            <w:noWrap w:val="0"/>
            <w:vAlign w:val="center"/>
          </w:tcPr>
          <w:p w14:paraId="6CFE5713">
            <w:pPr>
              <w:adjustRightInd/>
              <w:snapToGrid/>
              <w:spacing w:after="0" w:line="360" w:lineRule="auto"/>
              <w:jc w:val="center"/>
              <w:rPr>
                <w:rFonts w:ascii="宋体" w:hAnsi="宋体" w:eastAsia="宋体"/>
                <w:szCs w:val="21"/>
                <w:highlight w:val="none"/>
              </w:rPr>
            </w:pPr>
            <w:r>
              <w:rPr>
                <w:rFonts w:ascii="宋体" w:hAnsi="宋体" w:eastAsia="宋体"/>
                <w:szCs w:val="21"/>
                <w:highlight w:val="none"/>
              </w:rPr>
              <w:t>合同条款</w:t>
            </w:r>
          </w:p>
        </w:tc>
        <w:tc>
          <w:tcPr>
            <w:tcW w:w="3845" w:type="pct"/>
            <w:noWrap w:val="0"/>
            <w:vAlign w:val="center"/>
          </w:tcPr>
          <w:p w14:paraId="5EC00FAA">
            <w:pPr>
              <w:adjustRightInd/>
              <w:snapToGrid/>
              <w:spacing w:after="0" w:line="360" w:lineRule="auto"/>
              <w:jc w:val="both"/>
              <w:rPr>
                <w:rFonts w:ascii="宋体" w:hAnsi="宋体" w:eastAsia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Cs w:val="21"/>
                <w:highlight w:val="none"/>
              </w:rPr>
              <w:t>投标人</w:t>
            </w:r>
            <w:r>
              <w:rPr>
                <w:rFonts w:ascii="宋体" w:hAnsi="宋体" w:eastAsia="宋体"/>
                <w:szCs w:val="21"/>
                <w:highlight w:val="none"/>
              </w:rPr>
              <w:t>实质响应合同各条款。</w:t>
            </w:r>
          </w:p>
        </w:tc>
      </w:tr>
    </w:tbl>
    <w:p w14:paraId="32B5A227">
      <w:pPr>
        <w:spacing w:after="0" w:line="360" w:lineRule="auto"/>
        <w:ind w:left="520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</w:pPr>
    </w:p>
    <w:p w14:paraId="7BBB10BB">
      <w:pPr>
        <w:pStyle w:val="2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</w:pPr>
    </w:p>
    <w:p w14:paraId="7508B096">
      <w:pPr>
        <w:rPr>
          <w:rFonts w:hint="eastAsia"/>
          <w:highlight w:val="none"/>
        </w:rPr>
      </w:pPr>
    </w:p>
    <w:p w14:paraId="3932B680">
      <w:pPr>
        <w:spacing w:after="0" w:line="360" w:lineRule="auto"/>
        <w:ind w:left="520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</w:pPr>
    </w:p>
    <w:p w14:paraId="75DF0627">
      <w:pPr>
        <w:spacing w:after="0" w:line="360" w:lineRule="auto"/>
        <w:ind w:left="520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</w:pPr>
    </w:p>
    <w:p w14:paraId="36F2AC68">
      <w:pPr>
        <w:spacing w:after="0" w:line="360" w:lineRule="auto"/>
        <w:ind w:left="520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</w:pPr>
    </w:p>
    <w:p w14:paraId="4D7D61C3">
      <w:pPr>
        <w:spacing w:after="0" w:line="360" w:lineRule="auto"/>
        <w:ind w:left="520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</w:pPr>
    </w:p>
    <w:p w14:paraId="603FE495">
      <w:pPr>
        <w:spacing w:after="0" w:line="360" w:lineRule="auto"/>
        <w:ind w:firstLine="422" w:firstLineChars="200"/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</w:rPr>
        <w:t>一、服务目的</w:t>
      </w: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/>
        </w:rPr>
        <w:t>及服务范围</w:t>
      </w:r>
    </w:p>
    <w:p w14:paraId="068F8DCD">
      <w:pPr>
        <w:spacing w:after="0"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根据《东莞市人民政府办公室关于印发〈东莞市居家养老服务管理办法（修订）〉的通知》（东府办〔2021〕12号）文件精神及要求，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凤岗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镇在全镇范围开展以家庭为核心、以社区为依托、以专业服务为主要形式的居家养老服务，推动老年人福利事业发展，营造尊老、敬老、助老的良好社会氛围，全面提高老年人生活质量，构建和谐社会。现向社会通过公开招标的方式选取一家具有相关资质的服务机构，为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凤岗镇（广东省东莞市辖镇）11个村庄及1个社区，雁田村、官井头村、油甘埔村、凤德岭村、塘沥村、黄洞村、竹塘村、竹尾田村、三联村、五联村、天堂围村及凤岗社区，服务老人约180名（以实际数量为准）。</w:t>
      </w:r>
    </w:p>
    <w:p w14:paraId="7C5973DD">
      <w:pPr>
        <w:numPr>
          <w:ilvl w:val="0"/>
          <w:numId w:val="0"/>
        </w:numPr>
        <w:spacing w:after="0" w:line="360" w:lineRule="auto"/>
        <w:ind w:left="520" w:leftChars="0"/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/>
        </w:rPr>
        <w:t>服务群体</w:t>
      </w:r>
    </w:p>
    <w:p w14:paraId="5459C702">
      <w:pPr>
        <w:pStyle w:val="2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1</w:t>
      </w: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在本镇行政区域内居住的户籍居民，符合以下情形之一的服务对象可申请政府资助：</w:t>
      </w:r>
    </w:p>
    <w:p w14:paraId="7C129520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（1）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年满60周岁及以上的重度失能老年人；</w:t>
      </w:r>
    </w:p>
    <w:p w14:paraId="4DBB2C81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（2）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年满70周岁及以上的中度失能老年人；</w:t>
      </w:r>
    </w:p>
    <w:p w14:paraId="106A0844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（3）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孤寡人员、计划生育特殊家庭、部分享受定期定量抚恤生活补助优抚对象中年满60周岁及以上的失能老年人；</w:t>
      </w:r>
    </w:p>
    <w:p w14:paraId="580165C7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（4）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特困供养人员、低保家庭、低收入家庭中年满60周岁及以上的失能老年人。</w:t>
      </w:r>
    </w:p>
    <w:p w14:paraId="73291154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（5）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自行资助的对象。</w:t>
      </w:r>
    </w:p>
    <w:p w14:paraId="37A68525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属于政府资助对象的老人，可申请以下资助标准的服务</w:t>
      </w: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：</w:t>
      </w:r>
    </w:p>
    <w:p w14:paraId="001C11B4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（1）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经评估属于重度失能的，按照每人每月720元的标准提供居家养老服务。</w:t>
      </w:r>
    </w:p>
    <w:p w14:paraId="15F6845C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（2）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经评估属于中度失能的，按照每人每月480元的标准提供居家养老服务。</w:t>
      </w:r>
    </w:p>
    <w:p w14:paraId="2CDA138C">
      <w:pPr>
        <w:pStyle w:val="2"/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（3）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highlight w:val="none"/>
          <w:lang w:val="en-US" w:eastAsia="zh-CN" w:bidi="ar-SA"/>
        </w:rPr>
        <w:t>经评估属于轻度失能或能力完好的，按照每人每月360元的标准提供居家养老服务。</w:t>
      </w:r>
    </w:p>
    <w:p w14:paraId="374F4AF6">
      <w:pPr>
        <w:pStyle w:val="2"/>
        <w:numPr>
          <w:ilvl w:val="0"/>
          <w:numId w:val="0"/>
        </w:num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highlight w:val="none"/>
          <w:lang w:val="en-US" w:eastAsia="zh-CN" w:bidi="ar-SA"/>
        </w:rPr>
        <w:t>注：服务对象条件若未来东莞市政府发布新文件规定的，以新文件规定为准。</w:t>
      </w:r>
    </w:p>
    <w:p w14:paraId="2524D870">
      <w:pPr>
        <w:widowControl w:val="0"/>
        <w:tabs>
          <w:tab w:val="left" w:pos="540"/>
        </w:tabs>
        <w:spacing w:after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highlight w:val="none"/>
          <w:lang w:val="en-US" w:eastAsia="zh-CN" w:bidi="ar-SA"/>
        </w:rPr>
      </w:pPr>
    </w:p>
    <w:p w14:paraId="2C95CA9C">
      <w:pPr>
        <w:widowControl w:val="0"/>
        <w:tabs>
          <w:tab w:val="left" w:pos="540"/>
        </w:tabs>
        <w:spacing w:after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highlight w:val="none"/>
          <w:lang w:val="en-US" w:eastAsia="zh-CN" w:bidi="ar-SA"/>
        </w:rPr>
      </w:pPr>
    </w:p>
    <w:p w14:paraId="244FEBBA">
      <w:pPr>
        <w:widowControl w:val="0"/>
        <w:tabs>
          <w:tab w:val="left" w:pos="540"/>
        </w:tabs>
        <w:spacing w:after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highlight w:val="none"/>
          <w:lang w:val="en-US" w:eastAsia="zh-CN" w:bidi="ar-SA"/>
        </w:rPr>
      </w:pPr>
    </w:p>
    <w:p w14:paraId="69D09A40">
      <w:pPr>
        <w:widowControl w:val="0"/>
        <w:tabs>
          <w:tab w:val="left" w:pos="540"/>
        </w:tabs>
        <w:spacing w:after="0" w:line="360" w:lineRule="auto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highlight w:val="none"/>
          <w:lang w:val="en-US" w:eastAsia="zh-CN" w:bidi="ar-SA"/>
        </w:rPr>
      </w:pPr>
    </w:p>
    <w:p w14:paraId="5A513C43">
      <w:pPr>
        <w:widowControl w:val="0"/>
        <w:tabs>
          <w:tab w:val="left" w:pos="540"/>
        </w:tabs>
        <w:spacing w:after="0" w:line="360" w:lineRule="auto"/>
        <w:ind w:firstLine="422" w:firstLineChars="200"/>
        <w:jc w:val="both"/>
        <w:rPr>
          <w:rFonts w:ascii="宋体" w:hAnsi="宋体" w:eastAsia="宋体" w:cs="Courier New"/>
          <w:b/>
          <w:bCs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/>
        </w:rPr>
        <w:t>预计服务人数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1"/>
        <w:gridCol w:w="4139"/>
      </w:tblGrid>
      <w:tr w14:paraId="6F521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D884C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Times New Roman" w:eastAsia="宋体"/>
                <w:b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Cs w:val="24"/>
                <w:highlight w:val="none"/>
              </w:rPr>
              <w:t>服务对象</w:t>
            </w:r>
          </w:p>
        </w:tc>
        <w:tc>
          <w:tcPr>
            <w:tcW w:w="2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F3F50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宋体" w:eastAsia="宋体"/>
                <w:b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Cs w:val="24"/>
                <w:highlight w:val="none"/>
              </w:rPr>
              <w:t>初步预计人数</w:t>
            </w:r>
          </w:p>
          <w:p w14:paraId="38FBFCA9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Times New Roman" w:eastAsia="宋体"/>
                <w:b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2"/>
                <w:szCs w:val="24"/>
                <w:highlight w:val="none"/>
              </w:rPr>
              <w:t>（以采购人审批后实际服务人数为准）</w:t>
            </w:r>
          </w:p>
        </w:tc>
      </w:tr>
      <w:tr w14:paraId="55920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47A76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宋体" w:eastAsia="宋体"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2"/>
                <w:szCs w:val="24"/>
                <w:highlight w:val="none"/>
              </w:rPr>
              <w:t>经评估属于重度失能的</w:t>
            </w:r>
          </w:p>
        </w:tc>
        <w:tc>
          <w:tcPr>
            <w:tcW w:w="2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D6875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hint="default" w:ascii="宋体" w:hAnsi="宋体" w:eastAsia="宋体"/>
                <w:bCs/>
                <w:color w:val="000000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2"/>
                <w:szCs w:val="24"/>
                <w:highlight w:val="none"/>
                <w:lang w:val="en-US" w:eastAsia="zh-CN"/>
              </w:rPr>
              <w:t>57</w:t>
            </w:r>
          </w:p>
        </w:tc>
      </w:tr>
      <w:tr w14:paraId="1575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36426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宋体" w:eastAsia="宋体"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2"/>
                <w:szCs w:val="24"/>
                <w:highlight w:val="none"/>
              </w:rPr>
              <w:t>经评估属于中度失能的</w:t>
            </w:r>
          </w:p>
        </w:tc>
        <w:tc>
          <w:tcPr>
            <w:tcW w:w="2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E4B01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hint="default" w:ascii="宋体" w:hAnsi="宋体" w:eastAsia="宋体"/>
                <w:bCs/>
                <w:color w:val="000000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2"/>
                <w:szCs w:val="24"/>
                <w:highlight w:val="none"/>
                <w:lang w:val="en-US" w:eastAsia="zh-CN"/>
              </w:rPr>
              <w:t>120</w:t>
            </w:r>
          </w:p>
        </w:tc>
      </w:tr>
      <w:tr w14:paraId="73F4E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5DC2F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宋体" w:eastAsia="宋体"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2"/>
                <w:szCs w:val="24"/>
                <w:highlight w:val="none"/>
              </w:rPr>
              <w:t>经评估属于轻度失能或能力完好的</w:t>
            </w:r>
          </w:p>
        </w:tc>
        <w:tc>
          <w:tcPr>
            <w:tcW w:w="2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B4BB3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宋体" w:eastAsia="宋体"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2"/>
                <w:szCs w:val="24"/>
                <w:highlight w:val="none"/>
              </w:rPr>
              <w:t>3</w:t>
            </w:r>
          </w:p>
        </w:tc>
      </w:tr>
      <w:tr w14:paraId="08224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2D487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宋体" w:eastAsia="宋体"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2"/>
                <w:szCs w:val="24"/>
                <w:highlight w:val="none"/>
              </w:rPr>
              <w:t>合计</w:t>
            </w:r>
          </w:p>
        </w:tc>
        <w:tc>
          <w:tcPr>
            <w:tcW w:w="2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F943C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hint="default" w:ascii="宋体" w:hAnsi="宋体" w:eastAsia="宋体"/>
                <w:bCs/>
                <w:color w:val="000000"/>
                <w:kern w:val="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2"/>
                <w:szCs w:val="24"/>
                <w:highlight w:val="none"/>
                <w:lang w:val="en-US" w:eastAsia="zh-CN"/>
              </w:rPr>
              <w:t>180</w:t>
            </w:r>
          </w:p>
        </w:tc>
      </w:tr>
      <w:tr w14:paraId="5EECC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9BB46">
            <w:pPr>
              <w:widowControl w:val="0"/>
              <w:adjustRightInd/>
              <w:snapToGrid/>
              <w:spacing w:after="0" w:line="360" w:lineRule="exact"/>
              <w:jc w:val="center"/>
              <w:rPr>
                <w:rFonts w:ascii="宋体" w:hAnsi="宋体" w:eastAsia="宋体"/>
                <w:bCs/>
                <w:color w:val="000000"/>
                <w:kern w:val="2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Cs w:val="24"/>
                <w:highlight w:val="none"/>
              </w:rPr>
              <w:t>本表人数只供参考，服务人数以实际人数为准。</w:t>
            </w:r>
          </w:p>
        </w:tc>
      </w:tr>
    </w:tbl>
    <w:p w14:paraId="343EB95B">
      <w:pPr>
        <w:widowControl w:val="0"/>
        <w:adjustRightInd/>
        <w:snapToGrid/>
        <w:spacing w:after="0" w:line="400" w:lineRule="exact"/>
        <w:ind w:firstLine="422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Courier New"/>
          <w:b/>
          <w:color w:val="0D0D0D"/>
          <w:sz w:val="21"/>
          <w:szCs w:val="21"/>
          <w:highlight w:val="none"/>
        </w:rPr>
        <w:t>注：以服务期内具体以实际服务人数为准。</w:t>
      </w:r>
    </w:p>
    <w:p w14:paraId="7E977667">
      <w:pPr>
        <w:pStyle w:val="2"/>
        <w:numPr>
          <w:ilvl w:val="0"/>
          <w:numId w:val="0"/>
        </w:numPr>
        <w:spacing w:line="360" w:lineRule="auto"/>
        <w:ind w:left="52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  <w:t>三、</w:t>
      </w:r>
      <w:r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  <w:t>服务要求</w:t>
      </w:r>
    </w:p>
    <w:p w14:paraId="4B9A7A20">
      <w:pPr>
        <w:pStyle w:val="2"/>
        <w:numPr>
          <w:ilvl w:val="0"/>
          <w:numId w:val="1"/>
        </w:numPr>
        <w:spacing w:line="360" w:lineRule="auto"/>
        <w:ind w:left="-2" w:leftChars="0" w:firstLine="422" w:firstLineChars="0"/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</w:pPr>
      <w:r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  <w:t>基本要求</w:t>
      </w:r>
    </w:p>
    <w:p w14:paraId="6FD59D6F">
      <w:pPr>
        <w:numPr>
          <w:ilvl w:val="0"/>
          <w:numId w:val="0"/>
        </w:num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 由中标人在全镇开展居家养老服务，面向凤岗镇12个村（社区）的老年人，以“中枢系统”服务模式整合各类服务资源，通过组建“社工+助工+护工+义工”队伍，以及中标人需最少建设1个服务中心及在12个村社区建设“居家养老服务站”，以服务站为据点，面向全镇老年人开展菜单式的居家养老和专业化护理服务。</w:t>
      </w:r>
    </w:p>
    <w:p w14:paraId="6924FB4D"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（1）针对居家养老服务质量评估与监察。定期由中心的工作人员组织对开展的居家养老服务质量进行抽查，并提出改善建议，持续提升镇服务质量。</w:t>
      </w:r>
    </w:p>
    <w:p w14:paraId="78A45246"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（2）建立居家养老服务资源平台，搭建凤岗镇居家养老电话服务、网络信息服务系统，做好服务统计、资源共享、投诉建议等。</w:t>
      </w:r>
    </w:p>
    <w:p w14:paraId="4611A837"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3）开展居家养老服务宣传，如VI（R）设计等。对全镇老年人推广与宣传居家养老服务，让更多的老年人了解与接受此项服务，另外通过对居家养老服务的包装与宣传，让更多的人士参与、关注此项服务，并对此项服务给予支持。</w:t>
      </w:r>
    </w:p>
    <w:p w14:paraId="3A498D9E"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（4）针对居家养老项目服务人员开展定期的培训，如护工、义工、社工关于老年人服务的系列培训。</w:t>
      </w:r>
    </w:p>
    <w:p w14:paraId="2A808870"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（5）社工服务。由中心内的专业社工，为老年人及家属开展专业的个案、小组、社区活动服务，为护工开展专业的督导。</w:t>
      </w:r>
    </w:p>
    <w:p w14:paraId="596A4466"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（6）做好居家养老服务的操作指引与制度化建设，制定服务菜单、居家养老服务手册、居家养老服务管理手册及相关制度等。</w:t>
      </w:r>
    </w:p>
    <w:p w14:paraId="0DB2F1E7">
      <w:pPr>
        <w:pStyle w:val="2"/>
        <w:numPr>
          <w:ilvl w:val="0"/>
          <w:numId w:val="1"/>
        </w:numPr>
        <w:spacing w:line="360" w:lineRule="auto"/>
        <w:ind w:left="-2" w:leftChars="0" w:firstLine="422" w:firstLineChars="0"/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  <w:t>人员要求</w:t>
      </w:r>
    </w:p>
    <w:p w14:paraId="64945E01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</w:t>
      </w:r>
      <w:r>
        <w:rPr>
          <w:rFonts w:hint="default"/>
          <w:highlight w:val="none"/>
          <w:lang w:val="en-US" w:eastAsia="zh-CN"/>
        </w:rPr>
        <w:t>.人员基本要求</w:t>
      </w:r>
    </w:p>
    <w:p w14:paraId="0C5EEE42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（1）</w:t>
      </w:r>
      <w:r>
        <w:rPr>
          <w:rFonts w:hint="default"/>
          <w:highlight w:val="none"/>
          <w:lang w:val="en-US" w:eastAsia="zh-CN"/>
        </w:rPr>
        <w:t>社工应具备以下基本条件：有相关专业毕业的本科或以上学历或通过助理社工师/社工师职业水平考试并取得证书；有3年或以上社会工作经验。社工助理应具备以下基本条件：相关专业毕业的大专或以上学历，有1年或以上工作经验。社工和社工助理应当接纳服务对象，尊重服务对象的自决权、隐私权、知情权，保护其权益；运用专业的知识、方法和技巧，能与服务对象正常沟通，为解决服务对象的实际问题和困难，为相关工作出谋划策并提供帮助；热爱社会工作，具有社会责任感和敬业精神，遵守职业操守及各项管理制度。</w:t>
      </w:r>
    </w:p>
    <w:p w14:paraId="4F35B71B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（2）</w:t>
      </w:r>
      <w:r>
        <w:rPr>
          <w:rFonts w:hint="default"/>
          <w:highlight w:val="none"/>
          <w:lang w:val="en-US" w:eastAsia="zh-CN"/>
        </w:rPr>
        <w:t>护工应具备以下基本条件：不限户籍，优先选聘具有凤岗镇户籍的失业人员、农村富余劳动人员以及原村（社区）自开展聘请的护理人员，尤其各村（社区）的“4050”人员（处于劳动年龄段40岁以上的女性和50岁以上的男性）。有养老护理员证书，热爱社会工作，具有社会责任感和敬业精神，遵守职业操守及各项管理制度。</w:t>
      </w:r>
    </w:p>
    <w:p w14:paraId="31ED811B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（3）</w:t>
      </w:r>
      <w:r>
        <w:rPr>
          <w:rFonts w:hint="default"/>
          <w:highlight w:val="none"/>
          <w:lang w:val="en-US" w:eastAsia="zh-CN"/>
        </w:rPr>
        <w:t>中标机构必须要为服务人员购买工伤等相应保险。</w:t>
      </w:r>
    </w:p>
    <w:p w14:paraId="7C23A07E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</w:t>
      </w:r>
      <w:r>
        <w:rPr>
          <w:rFonts w:hint="default"/>
          <w:highlight w:val="none"/>
          <w:lang w:val="en-US" w:eastAsia="zh-CN"/>
        </w:rPr>
        <w:t>投入团队配置要求</w:t>
      </w:r>
    </w:p>
    <w:p w14:paraId="7A05B40A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（1）</w:t>
      </w:r>
      <w:r>
        <w:rPr>
          <w:rFonts w:hint="default"/>
          <w:highlight w:val="none"/>
          <w:lang w:val="en-US" w:eastAsia="zh-CN"/>
        </w:rPr>
        <w:t>社工人员配置：每60个服务对象至少配备1个社工人员（其中有2年以上社工工作经验至少1个，有1年或以上工作经验的社工助理1人）。</w:t>
      </w:r>
    </w:p>
    <w:p w14:paraId="7CFDEE87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（2）</w:t>
      </w:r>
      <w:r>
        <w:rPr>
          <w:rFonts w:hint="default"/>
          <w:highlight w:val="none"/>
          <w:lang w:val="en-US" w:eastAsia="zh-CN"/>
        </w:rPr>
        <w:t>护工人员配置：根据东莞市居家养老服务工作的相关政策精神,经采购人和中标人双方协商，中标人按照1名护工服务10名老人的比例为采购人开展居家养老服务工作配备护工。在实际操作中，中标人可在确保服务成效的前提下，根据实际情况的变化，并经凤岗镇公共服务办同意，对此比例进行微调。</w:t>
      </w:r>
    </w:p>
    <w:p w14:paraId="2DB313B5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（3）</w:t>
      </w:r>
      <w:r>
        <w:rPr>
          <w:rFonts w:hint="default"/>
          <w:highlight w:val="none"/>
          <w:lang w:val="en-US" w:eastAsia="zh-CN"/>
        </w:rPr>
        <w:t>中标人需在服务期内完成不少于1个“居家养老服务中心”的投建运营，配备不少于1名专业康复师，每年开展康复护理服务不少于20次及为不少于3个服务对象提供康复护理服务。</w:t>
      </w:r>
    </w:p>
    <w:p w14:paraId="0A466FEE">
      <w:pPr>
        <w:pStyle w:val="2"/>
        <w:numPr>
          <w:ilvl w:val="0"/>
          <w:numId w:val="1"/>
        </w:numPr>
        <w:spacing w:line="360" w:lineRule="auto"/>
        <w:ind w:left="-2" w:leftChars="0" w:firstLine="422" w:firstLineChars="0"/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  <w:t>服务要求</w:t>
      </w:r>
    </w:p>
    <w:p w14:paraId="56831FCC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针对12个村（社区）的老年人，提供居家养老服务。社区居家养老服务内容以“立足社区、面向老人、专业服务”为特点，依靠“社工+助工+护工+义工”为老年人提供专业化服务。具体服务内容如下：</w:t>
      </w: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167"/>
        <w:gridCol w:w="2833"/>
        <w:gridCol w:w="3491"/>
      </w:tblGrid>
      <w:tr w14:paraId="53D39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05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97B203">
            <w:pPr>
              <w:adjustRightInd/>
              <w:snapToGrid/>
              <w:spacing w:after="0"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bidi="ar"/>
              </w:rPr>
              <w:t>服务项目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1B43AF">
            <w:pPr>
              <w:adjustRightInd/>
              <w:snapToGrid/>
              <w:spacing w:after="0"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bidi="ar"/>
              </w:rPr>
              <w:t>所属分类</w:t>
            </w:r>
          </w:p>
        </w:tc>
        <w:tc>
          <w:tcPr>
            <w:tcW w:w="283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3B7788">
            <w:pPr>
              <w:adjustRightInd/>
              <w:snapToGrid/>
              <w:spacing w:after="0"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bidi="ar"/>
              </w:rPr>
              <w:t>服务内容</w:t>
            </w:r>
          </w:p>
        </w:tc>
        <w:tc>
          <w:tcPr>
            <w:tcW w:w="349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5719DE">
            <w:pPr>
              <w:adjustRightInd/>
              <w:snapToGrid/>
              <w:spacing w:after="0"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bidi="ar"/>
              </w:rPr>
              <w:t>质量标准</w:t>
            </w:r>
          </w:p>
        </w:tc>
      </w:tr>
      <w:tr w14:paraId="095AA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055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4C7EE2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一、生活照料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CFC5FD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1.助洁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8098BB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包含地板、卧室、厨房、家具、厕所清洁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AEB8C9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地板、卧室、厨房、家具、厕所清洁；衣物清洗干净</w:t>
            </w:r>
          </w:p>
        </w:tc>
      </w:tr>
      <w:tr w14:paraId="2A9E0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46F96F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F2AA54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2.助餐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53253F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包括膳食选择、烹饪、协助进食、为老人送餐、送汤等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42E5DA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按服务对象口味做餐，按正确姿势喂饭，及时帮助老人送餐</w:t>
            </w:r>
          </w:p>
        </w:tc>
      </w:tr>
      <w:tr w14:paraId="06B1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20A211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C7B79E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3.助行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E50AF9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协助行走、陪伴外出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DD5950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安全陪伴老人行走和外出</w:t>
            </w:r>
          </w:p>
        </w:tc>
      </w:tr>
      <w:tr w14:paraId="45DC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632335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29759F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4.助急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97F3C6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紧急生命救助、呼援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C4926F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及时响应呼救</w:t>
            </w:r>
          </w:p>
        </w:tc>
      </w:tr>
      <w:tr w14:paraId="137F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2B8F70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A2982D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5.代办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C385BE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代购、代修电器、代缴水电费、代领等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11FEB7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1.准确记录代办事项，与老人做到当面清点</w:t>
            </w:r>
          </w:p>
          <w:p w14:paraId="7A6956C8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2. 代购物品应保证品质量、数量、完好无损</w:t>
            </w:r>
          </w:p>
          <w:p w14:paraId="4F36DB9E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3.代缴、代领物品应保证无遗失</w:t>
            </w:r>
          </w:p>
        </w:tc>
      </w:tr>
      <w:tr w14:paraId="123DB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jc w:val="center"/>
        </w:trPr>
        <w:tc>
          <w:tcPr>
            <w:tcW w:w="1055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51BB0B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二、 个人护理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F5905C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6.身体清洁照护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779203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包含协助口腔清洁、洗脸、洗澡、洗头、理发、修甲、洗脚、衣物清洗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3D749E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口腔、面部、头发、口腔、身体、脚趾清洁，头发和指甲长短合适，符合服务对象的要求</w:t>
            </w:r>
          </w:p>
        </w:tc>
      </w:tr>
      <w:tr w14:paraId="43B3C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5594E9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0B7D40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7.身体清洁照护及助洁服务</w:t>
            </w:r>
          </w:p>
        </w:tc>
        <w:tc>
          <w:tcPr>
            <w:tcW w:w="283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3384FE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包含帮助口腔护理、洗脸、洗澡、洗头、理发、修甲、洗脚、衣物清洗、房屋清洁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67020E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口腔、面部、头发、口腔、身体、脚趾清洁，头发和指甲长短合适，符合服务对象的要求；地板、卧室、厨房、家具、厕所清洁；衣物清洗干净</w:t>
            </w:r>
          </w:p>
        </w:tc>
      </w:tr>
      <w:tr w14:paraId="3F8CF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C225E0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6E2BEC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8.排泄护理</w:t>
            </w:r>
          </w:p>
        </w:tc>
        <w:tc>
          <w:tcPr>
            <w:tcW w:w="283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17D77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协助大小便或更换尿片、排痰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AEF0D1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协助如厕安全，便前洗手，便后衣物整洁；痰液咳出。</w:t>
            </w:r>
          </w:p>
        </w:tc>
      </w:tr>
      <w:tr w14:paraId="4AAC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C8D4A2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9691AD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9.压疮预防</w:t>
            </w:r>
          </w:p>
        </w:tc>
        <w:tc>
          <w:tcPr>
            <w:tcW w:w="283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2C23C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翻身护理、使用预防物品指导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31A43C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按规范翻身，翻身后体位摆放良好</w:t>
            </w:r>
          </w:p>
        </w:tc>
      </w:tr>
      <w:tr w14:paraId="53B36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1055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F6C7CB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三、康复护理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050496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10.康复护理及生理指数监测</w:t>
            </w:r>
          </w:p>
        </w:tc>
        <w:tc>
          <w:tcPr>
            <w:tcW w:w="283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92D178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肢体锻炼、开天门等；测量血压、血糖、体温、呼吸、心率、血氧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3787C9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根据服务对象需求安全进行康复护理训练；熟练掌握护理操作要领，准确规范地为老人测量生命体征、体重等</w:t>
            </w:r>
          </w:p>
        </w:tc>
      </w:tr>
      <w:tr w14:paraId="76EC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A8F6C8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3ADECB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11.预防保健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16E089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包含建立健康档案、健康咨询、用药提醒、营养指导、防跌倒指导；必要时，可协助前往社区卫生站就诊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ADA735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护理员应掌握常见老年疾病知识和老年保健基础知识，根据服务对象需求给予指导营养膳食。</w:t>
            </w:r>
          </w:p>
        </w:tc>
      </w:tr>
      <w:tr w14:paraId="528C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973E03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F95CD8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12.医疗护理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076F71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含管道护理（不含材料费）、伤口换药（不含特殊材料费）</w:t>
            </w:r>
          </w:p>
        </w:tc>
        <w:tc>
          <w:tcPr>
            <w:tcW w:w="349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6BFA9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bottom"/>
              <w:rPr>
                <w:rFonts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正确安全更换管道</w:t>
            </w:r>
          </w:p>
          <w:p w14:paraId="17E1AD67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正确换药、伤口无出血、无污染</w:t>
            </w:r>
          </w:p>
        </w:tc>
      </w:tr>
      <w:tr w14:paraId="3984D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A4C23A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952AE2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DCD167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义诊活动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E77BFB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定期安排义诊服务</w:t>
            </w:r>
          </w:p>
        </w:tc>
      </w:tr>
      <w:tr w14:paraId="1200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055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8180C5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四、精神慰藉、文化娱乐、电话回访</w:t>
            </w: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E231D9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13.文化娱乐</w:t>
            </w:r>
          </w:p>
        </w:tc>
        <w:tc>
          <w:tcPr>
            <w:tcW w:w="283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90B8C5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为老人在季度举办生日会、春节、国庆、端午、重阳等假期举办茶话会、敬老活动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819509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每季度举办生日会、节假日活动等，让老人开心。</w:t>
            </w:r>
          </w:p>
        </w:tc>
      </w:tr>
      <w:tr w14:paraId="2CF9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  <w:jc w:val="center"/>
        </w:trPr>
        <w:tc>
          <w:tcPr>
            <w:tcW w:w="1055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FDC573">
            <w:pPr>
              <w:adjustRightInd/>
              <w:snapToGrid/>
              <w:spacing w:before="31" w:beforeLines="10" w:after="31" w:afterLines="10" w:line="360" w:lineRule="auto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6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A39975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14.精神慰藉</w:t>
            </w:r>
          </w:p>
        </w:tc>
        <w:tc>
          <w:tcPr>
            <w:tcW w:w="283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1A7F45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包括入户探访、陪聊、心理疏导，给予心理上的支持和鼓励</w:t>
            </w:r>
          </w:p>
        </w:tc>
        <w:tc>
          <w:tcPr>
            <w:tcW w:w="349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406A43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1.制订精神慰藉服务计划，请社工、心理医生为老人提供精神慰藉服务，必须时可提供相关信息或转介服务</w:t>
            </w:r>
          </w:p>
          <w:p w14:paraId="4749D150">
            <w:pPr>
              <w:adjustRightInd/>
              <w:snapToGrid/>
              <w:spacing w:before="31" w:beforeLines="10" w:after="31" w:afterLines="10" w:line="360" w:lineRule="auto"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2. 服务员应注意尊重并保护老人的隐私</w:t>
            </w:r>
          </w:p>
        </w:tc>
      </w:tr>
    </w:tbl>
    <w:p w14:paraId="415FAB7E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</w:p>
    <w:p w14:paraId="46240BD3">
      <w:pPr>
        <w:pStyle w:val="2"/>
        <w:numPr>
          <w:ilvl w:val="0"/>
          <w:numId w:val="1"/>
        </w:numPr>
        <w:spacing w:line="360" w:lineRule="auto"/>
        <w:ind w:left="-2" w:leftChars="0" w:firstLine="422" w:firstLineChars="0"/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  <w:t>其他要求</w:t>
      </w:r>
    </w:p>
    <w:p w14:paraId="6E14356E">
      <w:pPr>
        <w:spacing w:line="360" w:lineRule="auto"/>
        <w:ind w:firstLine="420" w:firstLineChars="200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中标人</w:t>
      </w:r>
      <w:r>
        <w:rPr>
          <w:rFonts w:hint="default"/>
          <w:highlight w:val="none"/>
          <w:lang w:val="en-US" w:eastAsia="zh-CN"/>
        </w:rPr>
        <w:t>应保障对专业人才服务购买费用的投入，其中社工、康复师、营养师及护理师岗位购买费用应按照有关东莞市有关规定执行。中标人不得拖欠或克扣社工、社工助理、康复师、营养师及护理师、护工等服务人员工资。合同期内，若发生缺岗情况，</w:t>
      </w:r>
      <w:r>
        <w:rPr>
          <w:rFonts w:hint="default"/>
          <w:highlight w:val="none"/>
          <w:lang w:val="en-US" w:eastAsia="zh-CN"/>
        </w:rPr>
        <w:t>中标人</w:t>
      </w:r>
      <w:r>
        <w:rPr>
          <w:rFonts w:hint="default"/>
          <w:highlight w:val="none"/>
          <w:lang w:val="en-US" w:eastAsia="zh-CN"/>
        </w:rPr>
        <w:t>需要1个月内补齐服务人员，保障服务不中断，及时与</w:t>
      </w:r>
      <w:r>
        <w:rPr>
          <w:rFonts w:hint="eastAsia"/>
          <w:highlight w:val="none"/>
          <w:lang w:val="en-US" w:eastAsia="zh-CN"/>
        </w:rPr>
        <w:t>采购人</w:t>
      </w:r>
      <w:r>
        <w:rPr>
          <w:rFonts w:hint="default"/>
          <w:highlight w:val="none"/>
          <w:lang w:val="en-US" w:eastAsia="zh-CN"/>
        </w:rPr>
        <w:t>进行沟通进展。</w:t>
      </w:r>
    </w:p>
    <w:p w14:paraId="07069C9B">
      <w:pPr>
        <w:pStyle w:val="2"/>
        <w:rPr>
          <w:rFonts w:hint="default"/>
          <w:highlight w:val="none"/>
          <w:lang w:val="en-US" w:eastAsia="zh-CN"/>
        </w:rPr>
      </w:pPr>
    </w:p>
    <w:p w14:paraId="334ADACC">
      <w:pPr>
        <w:numPr>
          <w:ilvl w:val="0"/>
          <w:numId w:val="2"/>
        </w:numPr>
        <w:ind w:firstLine="560" w:firstLineChars="200"/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color w:val="000000"/>
          <w:kern w:val="28"/>
          <w:sz w:val="28"/>
          <w:szCs w:val="28"/>
          <w:highlight w:val="none"/>
          <w:lang w:val="en-US" w:eastAsia="zh-CN" w:bidi="ar-SA"/>
        </w:rPr>
        <w:t>★</w:t>
      </w:r>
      <w:r>
        <w:rPr>
          <w:rFonts w:hint="default" w:ascii="宋体" w:hAnsi="宋体" w:eastAsia="宋体" w:cs="宋体"/>
          <w:b/>
          <w:color w:val="000000"/>
          <w:kern w:val="28"/>
          <w:sz w:val="21"/>
          <w:szCs w:val="21"/>
          <w:highlight w:val="none"/>
          <w:lang w:val="en-US" w:eastAsia="zh-CN" w:bidi="ar-SA"/>
        </w:rPr>
        <w:t>服务提供标准</w:t>
      </w:r>
    </w:p>
    <w:p w14:paraId="3236BEB2">
      <w:pPr>
        <w:pStyle w:val="2"/>
        <w:numPr>
          <w:ilvl w:val="0"/>
          <w:numId w:val="0"/>
        </w:numPr>
        <w:spacing w:line="360" w:lineRule="auto"/>
        <w:ind w:firstLine="630" w:firstLineChars="300"/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1、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经评估属于重度失能的，按照每人每月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u w:val="single"/>
          <w:lang w:val="en-US" w:eastAsia="zh-CN" w:bidi="ar-SA"/>
        </w:rPr>
        <w:t>720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元的标准提供居家养老服务。</w:t>
      </w:r>
    </w:p>
    <w:p w14:paraId="406ACF63">
      <w:pPr>
        <w:pStyle w:val="2"/>
        <w:numPr>
          <w:ilvl w:val="0"/>
          <w:numId w:val="0"/>
        </w:numPr>
        <w:spacing w:line="360" w:lineRule="auto"/>
        <w:ind w:firstLine="630" w:firstLineChars="300"/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2、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经评估属于中度失能的，按照每人每月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u w:val="single"/>
          <w:lang w:val="en-US" w:eastAsia="zh-CN" w:bidi="ar-SA"/>
        </w:rPr>
        <w:t>480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元的标准提供居家养老服务。</w:t>
      </w:r>
    </w:p>
    <w:p w14:paraId="6439DC12">
      <w:pPr>
        <w:pStyle w:val="2"/>
        <w:numPr>
          <w:ilvl w:val="0"/>
          <w:numId w:val="0"/>
        </w:numPr>
        <w:spacing w:line="360" w:lineRule="auto"/>
        <w:ind w:firstLine="630" w:firstLineChars="300"/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3、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经评估属于轻度失能或能力完好的，按照每人每月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u w:val="single"/>
          <w:lang w:val="en-US" w:eastAsia="zh-CN" w:bidi="ar-SA"/>
        </w:rPr>
        <w:t>360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元的标准提供居家养老服务。</w:t>
      </w:r>
    </w:p>
    <w:p w14:paraId="15CB752F">
      <w:pPr>
        <w:pStyle w:val="2"/>
        <w:numPr>
          <w:ilvl w:val="0"/>
          <w:numId w:val="0"/>
        </w:numPr>
        <w:spacing w:line="360" w:lineRule="auto"/>
        <w:ind w:firstLine="630" w:firstLineChars="300"/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4、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在合同服务期间，若东莞市居家养老服务补助标准有所调整，则按照新的规定执行。</w:t>
      </w:r>
    </w:p>
    <w:p w14:paraId="4A9D53F9">
      <w:pP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</w:p>
    <w:p w14:paraId="13C32F98">
      <w:pPr>
        <w:pStyle w:val="2"/>
        <w:rPr>
          <w:rFonts w:hint="default"/>
          <w:highlight w:val="none"/>
          <w:lang w:val="en-US" w:eastAsia="zh-CN"/>
        </w:rPr>
      </w:pPr>
    </w:p>
    <w:p w14:paraId="44DB45D5">
      <w:pPr>
        <w:spacing w:after="0" w:line="360" w:lineRule="auto"/>
        <w:ind w:firstLine="422" w:firstLineChars="200"/>
        <w:rPr>
          <w:rFonts w:ascii="宋体" w:hAnsi="宋体" w:eastAsia="宋体" w:cs="宋体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、服务跟踪与支持系统</w:t>
      </w:r>
    </w:p>
    <w:p w14:paraId="38573609">
      <w:pPr>
        <w:spacing w:after="0" w:line="360" w:lineRule="auto"/>
        <w:ind w:firstLine="420" w:firstLineChars="200"/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1、针对居家养老服务质量评估与监察。定期由中标人的工作人员组织对开展的居家养老服务质量进行抽查，并提出改善建议，持续提升服务质量。</w:t>
      </w:r>
    </w:p>
    <w:p w14:paraId="3A905A9D">
      <w:pPr>
        <w:spacing w:after="0" w:line="360" w:lineRule="auto"/>
        <w:ind w:firstLine="420" w:firstLineChars="200"/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2、建立居家养老服务信息平台。中标人搭建居家养老电话服务、网络信息服务系统，做好服务统计、资源共享、投诉建议等。</w:t>
      </w:r>
    </w:p>
    <w:p w14:paraId="626BE4C1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3、针对居家养老项目服务人员开展定期的培训。由中标人对项目服务人员如护工、义工、社工关于老年人服务的系列培训。</w:t>
      </w:r>
    </w:p>
    <w:p w14:paraId="775BAC3C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4、社工服务。由中标人的专业社工，为老年人及家属开展专业的个案、小组、社区活动服务，为护工开展专业的督导。</w:t>
      </w:r>
    </w:p>
    <w:p w14:paraId="453E3FBE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5、中标人做好镇居家养老服务的操作指引与制度化建设，制定服务标准，印制《居家养老服务手册》 《居家养老服务管理手册》 《居家养老服务培训手册》等。</w:t>
      </w:r>
    </w:p>
    <w:p w14:paraId="37FF1379">
      <w:pPr>
        <w:spacing w:after="0" w:line="360" w:lineRule="auto"/>
        <w:ind w:firstLine="420" w:firstLineChars="200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highlight w:val="none"/>
          <w:lang w:val="en-US" w:eastAsia="zh-CN" w:bidi="ar-SA"/>
        </w:rPr>
        <w:t>6、中标人要制定</w:t>
      </w:r>
      <w:r>
        <w:rPr>
          <w:rFonts w:hint="eastAsia" w:cstheme="minorBidi"/>
          <w:color w:val="auto"/>
          <w:kern w:val="2"/>
          <w:sz w:val="21"/>
          <w:szCs w:val="24"/>
          <w:highlight w:val="none"/>
          <w:lang w:val="en-US" w:eastAsia="zh-CN" w:bidi="ar-SA"/>
        </w:rPr>
        <w:t>凤岗镇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4"/>
          <w:highlight w:val="none"/>
          <w:lang w:val="en-US" w:eastAsia="zh-CN" w:bidi="ar-SA"/>
        </w:rPr>
        <w:t>居家养老服务的应急防范服务机制。</w:t>
      </w:r>
    </w:p>
    <w:p w14:paraId="718CB75D">
      <w:pPr>
        <w:spacing w:after="0" w:line="360" w:lineRule="auto"/>
        <w:ind w:firstLine="422" w:firstLineChars="200"/>
        <w:rPr>
          <w:rFonts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、考核管理</w:t>
      </w:r>
    </w:p>
    <w:p w14:paraId="563BA0EB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1、中标人对覆盖服务范围内有需求的老年人及时挖掘、跟进，并根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据老年人数量的变化，及时配备合适的社工、社工助理、护工，同时为保证居家养老服务质量，规范服务行为。</w:t>
      </w:r>
    </w:p>
    <w:p w14:paraId="103AA621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2、中标人应根据《东莞市居家养老服务管理办法（修订）》的精神，广泛收集服务对象意见，根据服务对象的意见制定服务管理制度、人事管理办法、财务管理办法和经费使用台账，并建立服务对象意见反馈制度。相关制度必须尊重服务对象知情选择服务的权利、尊重服务对象私人财产受法律保护的权利、尊重服务对象保护个人及家庭隐私的权利、并在接受服务对象和服务人员的申诉时及时妥善处理。</w:t>
      </w:r>
    </w:p>
    <w:p w14:paraId="48A98EBA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3、采购人和各村（社区）有权对服务机构的服务质量进行监督，如发现服务机构存有不合理、不完善事项或服务质量问题，有权要求服务机构改正。同时，镇公共服务办、各村（社区）及其村民代表有权对中标人服务质量进行监督，并提出合理建议和意见。</w:t>
      </w:r>
    </w:p>
    <w:p w14:paraId="29BC615C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highlight w:val="none"/>
          <w:lang w:val="en-US" w:eastAsia="zh-CN" w:bidi="ar-SA"/>
        </w:rPr>
        <w:t>4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、中标人每年须对在岗人员进行不少于四期的相关专业业务培训。</w:t>
      </w:r>
    </w:p>
    <w:p w14:paraId="0B5A8662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highlight w:val="none"/>
          <w:lang w:val="en-US" w:eastAsia="zh-CN" w:bidi="ar-SA"/>
        </w:rPr>
        <w:t>5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、采购人每年对中标人服务项目进行评估，对评估不合格并逾期未落实整改措施的，采购人有权终止合同，重新甄选服务机构承接。（考核评估按照东莞市民政局相关文件执行）</w:t>
      </w:r>
    </w:p>
    <w:p w14:paraId="283AC09B">
      <w:pPr>
        <w:tabs>
          <w:tab w:val="left" w:pos="900"/>
        </w:tabs>
        <w:spacing w:after="0" w:line="360" w:lineRule="auto"/>
        <w:ind w:firstLine="525" w:firstLineChars="25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为保证居家养老服务质量，规范服务行为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2"/>
          <w:szCs w:val="22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制定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服务考核表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对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中标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项目服务质量进行考核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根据考核结果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确定是否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扣除相应服务费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eastAsia="zh-CN"/>
        </w:rPr>
        <w:t>。</w:t>
      </w:r>
    </w:p>
    <w:p w14:paraId="5DB26145">
      <w:pPr>
        <w:spacing w:after="0"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七、责任划分</w:t>
      </w:r>
    </w:p>
    <w:p w14:paraId="25FB509A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1、在服务过程中，中标人的工作人员造成本人或服务对象的人身（财产）损失，或因工作人员故意或重大过失导致服务对象造成损失，其法律及赔偿责任由中标人全部承担；同时，必须立即通知采购人等相关部门及村（社区）和受害人家属。</w:t>
      </w:r>
    </w:p>
    <w:p w14:paraId="10FD0A8E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2、中标人的工作人员在履行职务过程中发生工伤等事故，其责任由中标人全部承担，与采购人无关。</w:t>
      </w:r>
    </w:p>
    <w:p w14:paraId="615CCF78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3、中标人存在以下行为的，由采购人采取约谈、督促整改、暂停资金结算等措施。</w:t>
      </w:r>
    </w:p>
    <w:p w14:paraId="4E4C36ED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（1）接到服务对象投诉拒绝处理。</w:t>
      </w:r>
    </w:p>
    <w:p w14:paraId="2422F9E9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（2）一年内多次被服务对象投诉，经核实责任在中标人3次以上。</w:t>
      </w:r>
    </w:p>
    <w:p w14:paraId="6F2E4956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（3）泄露服务对象个人信息，侵犯服务对象合法权益。</w:t>
      </w:r>
    </w:p>
    <w:p w14:paraId="51AEEE67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4、具有以下情形的，采购人有权单方面解除合同，并无需承担违约责任。</w:t>
      </w:r>
    </w:p>
    <w:p w14:paraId="06604328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（1）采购人提供有效证据证明中标人有违法违约行为的。</w:t>
      </w:r>
    </w:p>
    <w:p w14:paraId="6C25A075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（2）经市民政局和采购人的考核评估，中标人未达到相应标准，采购人督促整改后仍不合格的。</w:t>
      </w:r>
    </w:p>
    <w:p w14:paraId="2D991FA8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（3）中标人未经采购人书面同意，将本服务项目转包给第三方或与第三方合伙经营的。</w:t>
      </w:r>
    </w:p>
    <w:p w14:paraId="7B404CA1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（4）经采购人查证，中标人有挤占、挪用、滥用该服务款项行为的。</w:t>
      </w:r>
    </w:p>
    <w:p w14:paraId="4E57B03A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5、具有以下情形的，中标人有权单方面解除合同，并无需承担违约责任：</w:t>
      </w:r>
    </w:p>
    <w:p w14:paraId="562FBB07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（1）因采购人自身原因造成项目工作无法开展的。</w:t>
      </w:r>
    </w:p>
    <w:p w14:paraId="77E5756C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（2）采购人无故克扣、拖欠款项达90日的。</w:t>
      </w:r>
    </w:p>
    <w:p w14:paraId="64EC5CC4">
      <w:pPr>
        <w:spacing w:after="0" w:line="360" w:lineRule="auto"/>
        <w:ind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6、服务提供过程中，中标人应积极与村（社区）进行沟通达成共识，采购人、村（社区）有权要求中标人根据实际情况及时调整服务计划。</w:t>
      </w:r>
    </w:p>
    <w:p w14:paraId="0AB2185B">
      <w:pPr>
        <w:spacing w:after="0" w:line="360" w:lineRule="auto"/>
        <w:ind w:firstLine="420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7、具体履约过程中如发生争议，中标人及采购人应本着真诚合作的态度积极处理。</w:t>
      </w:r>
    </w:p>
    <w:p w14:paraId="6FCE0ECF">
      <w:pPr>
        <w:tabs>
          <w:tab w:val="left" w:pos="0"/>
          <w:tab w:val="left" w:pos="709"/>
        </w:tabs>
        <w:spacing w:line="400" w:lineRule="exact"/>
        <w:ind w:firstLine="442" w:firstLineChars="200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  <w:highlight w:val="none"/>
          <w:lang w:val="en-US" w:eastAsia="zh-CN"/>
        </w:rPr>
        <w:t>八、</w:t>
      </w:r>
      <w:r>
        <w:rPr>
          <w:rFonts w:hint="eastAsia" w:ascii="宋体" w:hAnsi="宋体" w:cs="宋体"/>
          <w:b/>
          <w:bCs/>
          <w:kern w:val="0"/>
          <w:sz w:val="22"/>
          <w:szCs w:val="22"/>
          <w:highlight w:val="none"/>
        </w:rPr>
        <w:t>★投标人须承诺：在本项目合同执行期内，如遇东莞市居家养老服务相关政策调整，中标人需按东莞市最新的文件规定要求执行。（须提供承诺函加盖投标人公章）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5EFCAF"/>
    <w:multiLevelType w:val="singleLevel"/>
    <w:tmpl w:val="C45EFCAF"/>
    <w:lvl w:ilvl="0" w:tentative="0">
      <w:start w:val="1"/>
      <w:numFmt w:val="chineseCounting"/>
      <w:suff w:val="nothing"/>
      <w:lvlText w:val="（%1）"/>
      <w:lvlJc w:val="left"/>
      <w:pPr>
        <w:ind w:left="-122"/>
      </w:pPr>
      <w:rPr>
        <w:rFonts w:hint="eastAsia"/>
      </w:rPr>
    </w:lvl>
  </w:abstractNum>
  <w:abstractNum w:abstractNumId="1">
    <w:nsid w:val="C535D713"/>
    <w:multiLevelType w:val="singleLevel"/>
    <w:tmpl w:val="C535D71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946B9"/>
    <w:rsid w:val="057A5919"/>
    <w:rsid w:val="1B5B6771"/>
    <w:rsid w:val="287D715B"/>
    <w:rsid w:val="2F8D7607"/>
    <w:rsid w:val="37E97279"/>
    <w:rsid w:val="48C831F1"/>
    <w:rsid w:val="4EDE1FDD"/>
    <w:rsid w:val="646946B9"/>
    <w:rsid w:val="7BD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161"/>
      <w:ind w:left="120"/>
    </w:pPr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5256</Words>
  <Characters>5352</Characters>
  <Lines>0</Lines>
  <Paragraphs>0</Paragraphs>
  <TotalTime>36</TotalTime>
  <ScaleCrop>false</ScaleCrop>
  <LinksUpToDate>false</LinksUpToDate>
  <CharactersWithSpaces>5368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2024-12-30T03:15:00Z</dcterms:created>
  <dc:creator>WPS_1634716776</dc:creator>
  <cp:lastModifiedBy>WPS_1634716776</cp:lastModifiedBy>
  <dcterms:modified xsi:type="dcterms:W3CDTF">2024-12-30T08:05:20Z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3EA67ED906ED433AB350C9CA3A4AA349_11</vt:lpwstr>
  </property>
  <property fmtid="{D5CDD505-2E9C-101B-9397-08002B2CF9AE}" pid="4" name="KSOTemplateDocerSaveRecord">
    <vt:lpwstr>eyJoZGlkIjoiMjQ5NjNmOTc2YzYyODE4ZmJiYTQ3ODIzZjJlMWU2MWMiLCJ1c2VySWQiOiIxMjc4OTc3NDM0In0=</vt:lpwstr>
  </property>
</Properties>
</file>